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A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>QUE FORMULA LA COMISIONADA 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  <w:b/>
        </w:rPr>
        <w:t xml:space="preserve">EN RELACIÓN CON LA RESOLUCIÓN DICTADA POR EL PLENO DEL INSTITUTO DE TRANSPARENCIA, ACCESO A LA INFORMACIÓN PÚBLICA Y PROTECCIÓN DE DATOS PERSONALES DEL ESTADO DE MÉXICO Y MUNICIPIOS, EN LA </w:t>
      </w:r>
      <w:r w:rsidR="00A30614">
        <w:rPr>
          <w:rFonts w:ascii="Palatino Linotype" w:hAnsi="Palatino Linotype" w:cs="Arial"/>
          <w:b/>
        </w:rPr>
        <w:t>CUADRAGÉSIMA</w:t>
      </w:r>
      <w:r w:rsidR="00F05923">
        <w:rPr>
          <w:rFonts w:ascii="Palatino Linotype" w:hAnsi="Palatino Linotype" w:cs="Arial"/>
          <w:b/>
        </w:rPr>
        <w:t xml:space="preserve"> CUARTA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F05923">
        <w:rPr>
          <w:rFonts w:ascii="Palatino Linotype" w:hAnsi="Palatino Linotype" w:cs="Arial"/>
          <w:b/>
        </w:rPr>
        <w:t xml:space="preserve">VEINTIOCHO DE </w:t>
      </w:r>
      <w:r w:rsidR="00CE0603">
        <w:rPr>
          <w:rFonts w:ascii="Palatino Linotype" w:hAnsi="Palatino Linotype" w:cs="Arial"/>
          <w:b/>
        </w:rPr>
        <w:t>NOVIEMBRE</w:t>
      </w:r>
      <w:r w:rsidR="00251C7D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DE DOS MIL </w:t>
      </w:r>
      <w:r w:rsidR="006D731E">
        <w:rPr>
          <w:rFonts w:ascii="Palatino Linotype" w:hAnsi="Palatino Linotype" w:cs="Arial"/>
          <w:b/>
        </w:rPr>
        <w:t>DIECIOCHO</w:t>
      </w:r>
      <w:r w:rsidRPr="006D731E">
        <w:rPr>
          <w:rFonts w:ascii="Palatino Linotype" w:hAnsi="Palatino Linotype" w:cs="Arial"/>
          <w:b/>
        </w:rPr>
        <w:t xml:space="preserve">, EN </w:t>
      </w:r>
      <w:r w:rsidR="00F52359">
        <w:rPr>
          <w:rFonts w:ascii="Palatino Linotype" w:hAnsi="Palatino Linotype" w:cs="Arial"/>
          <w:b/>
        </w:rPr>
        <w:t>EL</w:t>
      </w:r>
      <w:r w:rsidRPr="006D731E">
        <w:rPr>
          <w:rFonts w:ascii="Palatino Linotype" w:hAnsi="Palatino Linotype" w:cs="Arial"/>
          <w:b/>
        </w:rPr>
        <w:t xml:space="preserve"> RECURSO</w:t>
      </w:r>
      <w:r w:rsidR="009C290A">
        <w:rPr>
          <w:rFonts w:ascii="Palatino Linotype" w:hAnsi="Palatino Linotype" w:cs="Arial"/>
          <w:b/>
        </w:rPr>
        <w:t xml:space="preserve"> DE REVISIÓN </w:t>
      </w:r>
      <w:r w:rsidR="00F05923">
        <w:rPr>
          <w:rFonts w:ascii="Palatino Linotype" w:hAnsi="Palatino Linotype" w:cs="Arial"/>
          <w:b/>
        </w:rPr>
        <w:t>03513</w:t>
      </w:r>
      <w:r w:rsidR="00AE03F1" w:rsidRPr="00AE03F1">
        <w:rPr>
          <w:rFonts w:ascii="Palatino Linotype" w:hAnsi="Palatino Linotype" w:cs="Arial"/>
          <w:b/>
        </w:rPr>
        <w:t>/INFOEM/IP/RR/2018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>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="00B0741D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>emite</w:t>
      </w:r>
      <w:r w:rsidR="00B0741D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9C290A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F52359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recurso de revisión</w:t>
      </w:r>
      <w:r w:rsidR="00697836">
        <w:rPr>
          <w:rFonts w:ascii="Palatino Linotype" w:hAnsi="Palatino Linotype" w:cs="Arial"/>
        </w:rPr>
        <w:t xml:space="preserve"> </w:t>
      </w:r>
      <w:r w:rsidR="00F05923">
        <w:rPr>
          <w:rFonts w:ascii="Palatino Linotype" w:hAnsi="Palatino Linotype" w:cs="Arial"/>
          <w:b/>
        </w:rPr>
        <w:t>03513</w:t>
      </w:r>
      <w:r w:rsidR="009C290A" w:rsidRPr="009C290A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251C7D">
        <w:rPr>
          <w:rFonts w:ascii="Palatino Linotype" w:hAnsi="Palatino Linotype" w:cs="Arial"/>
        </w:rPr>
        <w:t xml:space="preserve">el Comisionado </w:t>
      </w:r>
      <w:r w:rsidR="00F05923"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44407" w:rsidRDefault="00A517EA" w:rsidP="00A3061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</w:t>
      </w:r>
      <w:r w:rsidR="00251C7D">
        <w:rPr>
          <w:rFonts w:ascii="Palatino Linotype" w:hAnsi="Palatino Linotype"/>
        </w:rPr>
        <w:t>, que la</w:t>
      </w:r>
      <w:r w:rsidR="009C290A">
        <w:rPr>
          <w:rFonts w:ascii="Palatino Linotype" w:hAnsi="Palatino Linotype"/>
        </w:rPr>
        <w:t xml:space="preserve"> </w:t>
      </w:r>
      <w:r w:rsidR="00251C7D">
        <w:rPr>
          <w:rFonts w:ascii="Palatino Linotype" w:hAnsi="Palatino Linotype"/>
        </w:rPr>
        <w:t>suscrita</w:t>
      </w:r>
      <w:r w:rsidRPr="006D731E">
        <w:rPr>
          <w:rFonts w:ascii="Palatino Linotype" w:hAnsi="Palatino Linotype"/>
        </w:rPr>
        <w:t xml:space="preserve"> compart</w:t>
      </w:r>
      <w:r w:rsidR="00251C7D">
        <w:rPr>
          <w:rFonts w:ascii="Palatino Linotype" w:hAnsi="Palatino Linotype"/>
        </w:rPr>
        <w:t>e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 </w:t>
      </w:r>
      <w:r w:rsidR="0084457B">
        <w:rPr>
          <w:rFonts w:ascii="Palatino Linotype" w:hAnsi="Palatino Linotype"/>
        </w:rPr>
        <w:t>estimamos</w:t>
      </w:r>
      <w:r w:rsidRPr="006D731E">
        <w:rPr>
          <w:rFonts w:ascii="Palatino Linotype" w:hAnsi="Palatino Linotype"/>
        </w:rPr>
        <w:t xml:space="preserve"> necesario precisar algunas consid</w:t>
      </w:r>
      <w:r w:rsidR="00E27678">
        <w:rPr>
          <w:rFonts w:ascii="Palatino Linotype" w:hAnsi="Palatino Linotype"/>
        </w:rPr>
        <w:t>eraciones de hecho y de derecho.</w:t>
      </w:r>
    </w:p>
    <w:p w:rsidR="00F05923" w:rsidRDefault="00F44407" w:rsidP="00F44407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="00F05923" w:rsidRPr="00A21DCA">
        <w:rPr>
          <w:rFonts w:ascii="Palatino Linotype" w:hAnsi="Palatino Linotype"/>
          <w:b/>
          <w:bCs/>
          <w:lang w:val="es-ES_tradnl"/>
        </w:rPr>
        <w:t>Secretariado Ejecutivo del Sistema Estatal de Seguridad Pública</w:t>
      </w:r>
      <w:r>
        <w:rPr>
          <w:rFonts w:ascii="Palatino Linotype" w:hAnsi="Palatino Linotype"/>
        </w:rPr>
        <w:t xml:space="preserve">, en lo sucesivo </w:t>
      </w:r>
      <w:r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>
        <w:t xml:space="preserve"> </w:t>
      </w:r>
      <w:r w:rsidR="001464A6">
        <w:rPr>
          <w:rFonts w:ascii="Palatino Linotype" w:hAnsi="Palatino Linotype"/>
        </w:rPr>
        <w:t>respecto a las 140 colonias de los 28 municipios</w:t>
      </w:r>
      <w:r w:rsidR="00852E5B">
        <w:rPr>
          <w:rFonts w:ascii="Palatino Linotype" w:hAnsi="Palatino Linotype"/>
        </w:rPr>
        <w:t xml:space="preserve"> en donde se concentra el 70% de delitos</w:t>
      </w:r>
      <w:r w:rsidR="001464A6">
        <w:rPr>
          <w:rFonts w:ascii="Palatino Linotype" w:hAnsi="Palatino Linotype"/>
        </w:rPr>
        <w:t>, lo siguiente</w:t>
      </w:r>
      <w:r w:rsidR="00F05923">
        <w:rPr>
          <w:rFonts w:ascii="Palatino Linotype" w:hAnsi="Palatino Linotype"/>
        </w:rPr>
        <w:t>:</w:t>
      </w:r>
    </w:p>
    <w:p w:rsidR="00F05923" w:rsidRDefault="00F05923" w:rsidP="00F05923">
      <w:pPr>
        <w:ind w:left="851" w:right="757"/>
        <w:jc w:val="both"/>
        <w:rPr>
          <w:rFonts w:ascii="Palatino Linotype" w:hAnsi="Palatino Linotype"/>
          <w:i/>
          <w:color w:val="000000"/>
          <w:sz w:val="22"/>
          <w:szCs w:val="22"/>
          <w:lang w:val="es-ES_tradnl"/>
        </w:rPr>
      </w:pPr>
      <w:r w:rsidRPr="00F05923">
        <w:rPr>
          <w:rFonts w:ascii="Palatino Linotype" w:hAnsi="Palatino Linotype"/>
          <w:i/>
          <w:color w:val="000000"/>
          <w:sz w:val="22"/>
          <w:szCs w:val="22"/>
          <w:lang w:val="es-ES_tradnl"/>
        </w:rPr>
        <w:lastRenderedPageBreak/>
        <w:t xml:space="preserve">1.- EL DIAGNOSTICO O DIAGNOSTICOS REALIZADOS EN LAS 140 colonias de 28 municipios mexiquenses. </w:t>
      </w:r>
    </w:p>
    <w:p w:rsidR="00F05923" w:rsidRPr="00F05923" w:rsidRDefault="00F05923" w:rsidP="00F05923">
      <w:pPr>
        <w:ind w:left="851" w:right="757"/>
        <w:jc w:val="both"/>
        <w:rPr>
          <w:rFonts w:ascii="Palatino Linotype" w:hAnsi="Palatino Linotype"/>
          <w:i/>
          <w:color w:val="000000"/>
          <w:sz w:val="22"/>
          <w:szCs w:val="22"/>
          <w:lang w:val="es-ES_tradnl"/>
        </w:rPr>
      </w:pPr>
    </w:p>
    <w:p w:rsidR="00F44407" w:rsidRPr="00F05923" w:rsidRDefault="00F05923" w:rsidP="00F05923">
      <w:pPr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F05923">
        <w:rPr>
          <w:rFonts w:ascii="Palatino Linotype" w:hAnsi="Palatino Linotype"/>
          <w:i/>
          <w:color w:val="000000"/>
          <w:sz w:val="22"/>
          <w:szCs w:val="22"/>
          <w:lang w:val="es-ES_tradnl"/>
        </w:rPr>
        <w:t>2.- LA ESTRATEGIA O ESTRATEGIAS QUE SE LLEVARAN A CABO EN ESTAS 140 colonias de 28 municipios mexiquenses</w:t>
      </w:r>
      <w:r w:rsidR="00F44407" w:rsidRPr="00F05923">
        <w:rPr>
          <w:rFonts w:ascii="Palatino Linotype" w:hAnsi="Palatino Linotype"/>
          <w:sz w:val="22"/>
          <w:szCs w:val="22"/>
        </w:rPr>
        <w:t xml:space="preserve"> </w:t>
      </w:r>
    </w:p>
    <w:p w:rsidR="00F05923" w:rsidRDefault="00F44407" w:rsidP="00F05923">
      <w:pPr>
        <w:spacing w:before="240" w:after="24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las constancias que obran en el </w:t>
      </w:r>
      <w:r w:rsidRPr="00FD67FE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 través de su respuesta </w:t>
      </w:r>
      <w:r w:rsidR="00F05923" w:rsidRPr="00A21DCA">
        <w:rPr>
          <w:rFonts w:ascii="Palatino Linotype" w:hAnsi="Palatino Linotype" w:cs="Arial"/>
          <w:lang w:val="es-ES_tradnl" w:eastAsia="es-MX"/>
        </w:rPr>
        <w:t xml:space="preserve">señaló que lo correspondiente al punto 1, no se actualiza ningún </w:t>
      </w:r>
      <w:r w:rsidR="00F05923" w:rsidRPr="00A21DCA">
        <w:rPr>
          <w:rFonts w:ascii="Palatino Linotype" w:hAnsi="Palatino Linotype" w:cs="Arial"/>
          <w:lang w:val="es-ES_tradnl"/>
        </w:rPr>
        <w:t>supuesto</w:t>
      </w:r>
      <w:r w:rsidR="00F05923" w:rsidRPr="00A21DCA">
        <w:rPr>
          <w:rFonts w:ascii="Palatino Linotype" w:hAnsi="Palatino Linotype" w:cs="Arial"/>
          <w:lang w:val="es-ES_tradnl" w:eastAsia="es-MX"/>
        </w:rPr>
        <w:t xml:space="preserve"> legal del cual derive la obligación de contener la </w:t>
      </w:r>
      <w:r w:rsidR="00F05923" w:rsidRPr="00A21DCA">
        <w:rPr>
          <w:rFonts w:ascii="Palatino Linotype" w:eastAsia="MS Mincho" w:hAnsi="Palatino Linotype"/>
          <w:lang w:val="es-ES_tradnl"/>
        </w:rPr>
        <w:t>información</w:t>
      </w:r>
      <w:r w:rsidR="00F05923" w:rsidRPr="00A21DCA">
        <w:rPr>
          <w:rFonts w:ascii="Palatino Linotype" w:hAnsi="Palatino Linotype" w:cs="Arial"/>
          <w:lang w:val="es-ES_tradnl" w:eastAsia="es-MX"/>
        </w:rPr>
        <w:t xml:space="preserve"> solicitada</w:t>
      </w:r>
      <w:r w:rsidR="00F05923">
        <w:rPr>
          <w:rFonts w:ascii="Palatino Linotype" w:hAnsi="Palatino Linotype" w:cs="Arial"/>
        </w:rPr>
        <w:t>,</w:t>
      </w:r>
      <w:r w:rsidR="00F05923" w:rsidRPr="00F05923">
        <w:t xml:space="preserve"> </w:t>
      </w:r>
      <w:r w:rsidR="001464A6">
        <w:rPr>
          <w:rFonts w:ascii="Palatino Linotype" w:hAnsi="Palatino Linotype" w:cs="Arial"/>
        </w:rPr>
        <w:t>p</w:t>
      </w:r>
      <w:r w:rsidR="00F05923">
        <w:rPr>
          <w:rFonts w:ascii="Palatino Linotype" w:hAnsi="Palatino Linotype" w:cs="Arial"/>
        </w:rPr>
        <w:t xml:space="preserve">or otro lado, </w:t>
      </w:r>
      <w:r w:rsidR="00F05923" w:rsidRPr="00F05923">
        <w:rPr>
          <w:rFonts w:ascii="Palatino Linotype" w:hAnsi="Palatino Linotype" w:cs="Arial"/>
        </w:rPr>
        <w:t xml:space="preserve">al punto 2, indicó que la información se encuentra reservada en virtud de que </w:t>
      </w:r>
      <w:r w:rsidR="001464A6">
        <w:rPr>
          <w:rFonts w:ascii="Palatino Linotype" w:hAnsi="Palatino Linotype" w:cs="Arial"/>
        </w:rPr>
        <w:t>publicitar la información</w:t>
      </w:r>
      <w:r w:rsidR="00F05923" w:rsidRPr="00F05923">
        <w:rPr>
          <w:rFonts w:ascii="Palatino Linotype" w:hAnsi="Palatino Linotype" w:cs="Arial"/>
        </w:rPr>
        <w:t xml:space="preserve"> ocasionaría que se vulneren las estrategias que los Municipios y el Estado a través de las diferentes dependencias implementarán como medidas de prevención y combate al del</w:t>
      </w:r>
      <w:r w:rsidR="00F05923">
        <w:rPr>
          <w:rFonts w:ascii="Palatino Linotype" w:hAnsi="Palatino Linotype" w:cs="Arial"/>
        </w:rPr>
        <w:t>ito en el territorio mexiquense</w:t>
      </w:r>
      <w:r w:rsidR="00852E5B">
        <w:rPr>
          <w:rFonts w:ascii="Palatino Linotype" w:hAnsi="Palatino Linotype" w:cs="Arial"/>
        </w:rPr>
        <w:t>,</w:t>
      </w:r>
      <w:r w:rsidR="00F05923">
        <w:rPr>
          <w:rFonts w:ascii="Palatino Linotype" w:hAnsi="Palatino Linotype" w:cs="Arial"/>
        </w:rPr>
        <w:t xml:space="preserve"> </w:t>
      </w:r>
      <w:r w:rsidR="001464A6">
        <w:rPr>
          <w:rFonts w:ascii="Palatino Linotype" w:hAnsi="Palatino Linotype" w:cs="Arial"/>
        </w:rPr>
        <w:t>para lo cual anexó</w:t>
      </w:r>
      <w:r w:rsidR="00F05923" w:rsidRPr="00F05923">
        <w:rPr>
          <w:rFonts w:ascii="Palatino Linotype" w:hAnsi="Palatino Linotype" w:cs="Arial"/>
        </w:rPr>
        <w:t xml:space="preserve"> el Acta de la Quinta Sesión Extraordinaria del Comité de Transparencia en el cual se aprobó dicha clasificación.</w:t>
      </w:r>
    </w:p>
    <w:p w:rsidR="00F44407" w:rsidRDefault="00F44407" w:rsidP="001B0821">
      <w:pPr>
        <w:spacing w:before="240" w:after="240" w:line="360" w:lineRule="auto"/>
        <w:jc w:val="both"/>
        <w:rPr>
          <w:rFonts w:ascii="Palatino Linotype" w:hAnsi="Palatino Linotype" w:cs="Arial"/>
          <w:lang w:val="es-ES_tradnl" w:eastAsia="es-MX"/>
        </w:rPr>
      </w:pPr>
      <w:r w:rsidRPr="006B517F">
        <w:rPr>
          <w:rFonts w:ascii="Palatino Linotype" w:hAnsi="Palatino Linotype" w:cs="Arial"/>
        </w:rPr>
        <w:t xml:space="preserve">Inconforme con la respuesta, </w:t>
      </w:r>
      <w:r w:rsidRPr="006B517F">
        <w:rPr>
          <w:rFonts w:ascii="Palatino Linotype" w:hAnsi="Palatino Linotype" w:cs="Arial"/>
          <w:b/>
        </w:rPr>
        <w:t>EL RECURRENTE</w:t>
      </w:r>
      <w:r w:rsidRPr="006B517F">
        <w:rPr>
          <w:rFonts w:ascii="Palatino Linotype" w:hAnsi="Palatino Linotype" w:cs="Arial"/>
        </w:rPr>
        <w:t xml:space="preserve"> interpuso el recurso de revisión de mérito, manifestando como razones o motivos de inconformidad </w:t>
      </w:r>
      <w:r w:rsidR="001B0821">
        <w:rPr>
          <w:rFonts w:ascii="Palatino Linotype" w:hAnsi="Palatino Linotype" w:cs="Arial"/>
        </w:rPr>
        <w:t xml:space="preserve">que </w:t>
      </w:r>
      <w:r w:rsidR="001B0821" w:rsidRPr="001B0821">
        <w:rPr>
          <w:rFonts w:ascii="Palatino Linotype" w:hAnsi="Palatino Linotype" w:cs="Arial"/>
          <w:b/>
        </w:rPr>
        <w:t xml:space="preserve">EL SUJETO OBLIGADO </w:t>
      </w:r>
      <w:r w:rsidR="001464A6">
        <w:rPr>
          <w:rFonts w:ascii="Palatino Linotype" w:hAnsi="Palatino Linotype" w:cs="Arial"/>
          <w:lang w:val="es-ES_tradnl" w:eastAsia="es-MX"/>
        </w:rPr>
        <w:t xml:space="preserve">no justificó plenamente </w:t>
      </w:r>
      <w:r w:rsidR="001B0821" w:rsidRPr="00A21DCA">
        <w:rPr>
          <w:rFonts w:ascii="Palatino Linotype" w:hAnsi="Palatino Linotype" w:cs="Arial"/>
          <w:lang w:val="es-ES_tradnl" w:eastAsia="es-MX"/>
        </w:rPr>
        <w:t>por</w:t>
      </w:r>
      <w:r w:rsidR="001464A6">
        <w:rPr>
          <w:rFonts w:ascii="Palatino Linotype" w:hAnsi="Palatino Linotype" w:cs="Arial"/>
          <w:lang w:val="es-ES_tradnl" w:eastAsia="es-MX"/>
        </w:rPr>
        <w:t xml:space="preserve"> qué </w:t>
      </w:r>
      <w:r w:rsidR="00852E5B">
        <w:rPr>
          <w:rFonts w:ascii="Palatino Linotype" w:hAnsi="Palatino Linotype" w:cs="Arial"/>
          <w:lang w:val="es-ES_tradnl" w:eastAsia="es-MX"/>
        </w:rPr>
        <w:t>no se le proporciona la información</w:t>
      </w:r>
      <w:r w:rsidR="001B0821">
        <w:rPr>
          <w:rFonts w:ascii="Palatino Linotype" w:hAnsi="Palatino Linotype" w:cs="Arial"/>
          <w:lang w:val="es-ES_tradnl" w:eastAsia="es-MX"/>
        </w:rPr>
        <w:t>.</w:t>
      </w:r>
    </w:p>
    <w:p w:rsidR="001B0821" w:rsidRPr="001B0821" w:rsidRDefault="001B0821" w:rsidP="001B0821">
      <w:pPr>
        <w:spacing w:before="240" w:after="240" w:line="360" w:lineRule="auto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lang w:val="es-ES_tradnl" w:eastAsia="es-MX"/>
        </w:rPr>
        <w:t>Asimismo, se advierte q</w:t>
      </w:r>
      <w:r w:rsidR="00432C7E">
        <w:rPr>
          <w:rFonts w:ascii="Palatino Linotype" w:hAnsi="Palatino Linotype" w:cs="Arial"/>
          <w:lang w:val="es-ES_tradnl" w:eastAsia="es-MX"/>
        </w:rPr>
        <w:t xml:space="preserve">ue la Ponencia </w:t>
      </w:r>
      <w:proofErr w:type="spellStart"/>
      <w:r w:rsidR="00432C7E">
        <w:rPr>
          <w:rFonts w:ascii="Palatino Linotype" w:hAnsi="Palatino Linotype" w:cs="Arial"/>
          <w:lang w:val="es-ES_tradnl" w:eastAsia="es-MX"/>
        </w:rPr>
        <w:t>Resolutora</w:t>
      </w:r>
      <w:proofErr w:type="spellEnd"/>
      <w:r w:rsidR="00432C7E">
        <w:rPr>
          <w:rFonts w:ascii="Palatino Linotype" w:hAnsi="Palatino Linotype" w:cs="Arial"/>
          <w:lang w:val="es-ES_tradnl" w:eastAsia="es-MX"/>
        </w:rPr>
        <w:t>, llevó</w:t>
      </w:r>
      <w:r>
        <w:rPr>
          <w:rFonts w:ascii="Palatino Linotype" w:hAnsi="Palatino Linotype" w:cs="Arial"/>
          <w:lang w:val="es-ES_tradnl" w:eastAsia="es-MX"/>
        </w:rPr>
        <w:t xml:space="preserve"> a cabo una diligencia para mejor proveer con </w:t>
      </w:r>
      <w:r w:rsidRPr="001B0821">
        <w:rPr>
          <w:rFonts w:ascii="Palatino Linotype" w:hAnsi="Palatino Linotype" w:cs="Arial"/>
          <w:b/>
          <w:lang w:val="es-ES_tradnl" w:eastAsia="es-MX"/>
        </w:rPr>
        <w:t>EL SUJETO OBLIGADO</w:t>
      </w:r>
      <w:r w:rsidR="00432C7E">
        <w:rPr>
          <w:rFonts w:ascii="Palatino Linotype" w:hAnsi="Palatino Linotype" w:cs="Arial"/>
          <w:b/>
          <w:lang w:val="es-ES_tradnl" w:eastAsia="es-MX"/>
        </w:rPr>
        <w:t xml:space="preserve"> </w:t>
      </w:r>
      <w:r w:rsidR="00432C7E">
        <w:rPr>
          <w:rFonts w:ascii="Palatino Linotype" w:hAnsi="Palatino Linotype" w:cs="Arial"/>
          <w:lang w:val="es-ES_tradnl" w:eastAsia="es-MX"/>
        </w:rPr>
        <w:t>dentro de la etapa de instrucción,</w:t>
      </w:r>
      <w:r>
        <w:rPr>
          <w:rFonts w:ascii="Palatino Linotype" w:hAnsi="Palatino Linotype" w:cs="Arial"/>
          <w:b/>
          <w:lang w:val="es-ES_tradnl" w:eastAsia="es-MX"/>
        </w:rPr>
        <w:t xml:space="preserve"> </w:t>
      </w:r>
      <w:r w:rsidR="00852E5B">
        <w:rPr>
          <w:rFonts w:ascii="Palatino Linotype" w:hAnsi="Palatino Linotype" w:cs="Arial"/>
          <w:b/>
          <w:lang w:val="es-ES_tradnl" w:eastAsia="es-MX"/>
        </w:rPr>
        <w:t xml:space="preserve">en la que EL SUJETO OBLIGADO </w:t>
      </w:r>
      <w:r w:rsidR="00852E5B">
        <w:rPr>
          <w:rFonts w:ascii="Palatino Linotype" w:hAnsi="Palatino Linotype" w:cs="Arial"/>
          <w:lang w:val="es-ES_tradnl" w:eastAsia="es-MX"/>
        </w:rPr>
        <w:t>derivado de la misma</w:t>
      </w:r>
      <w:r>
        <w:rPr>
          <w:rFonts w:ascii="Palatino Linotype" w:hAnsi="Palatino Linotype" w:cs="Arial"/>
          <w:lang w:val="es-ES_tradnl" w:eastAsia="es-MX"/>
        </w:rPr>
        <w:t xml:space="preserve"> presentó </w:t>
      </w:r>
      <w:r w:rsidR="00940BFE">
        <w:rPr>
          <w:rFonts w:ascii="Palatino Linotype" w:hAnsi="Palatino Linotype"/>
          <w:lang w:val="es-ES_tradnl"/>
        </w:rPr>
        <w:t>el Acuerdo de C</w:t>
      </w:r>
      <w:r w:rsidRPr="00A21DCA">
        <w:rPr>
          <w:rFonts w:ascii="Palatino Linotype" w:hAnsi="Palatino Linotype"/>
          <w:lang w:val="es-ES_tradnl"/>
        </w:rPr>
        <w:t>lasificación</w:t>
      </w:r>
      <w:r w:rsidR="00940BFE">
        <w:rPr>
          <w:rFonts w:ascii="Palatino Linotype" w:hAnsi="Palatino Linotype"/>
          <w:lang w:val="es-ES_tradnl"/>
        </w:rPr>
        <w:t xml:space="preserve"> de información como reservada</w:t>
      </w:r>
      <w:r w:rsidRPr="00A21DCA">
        <w:rPr>
          <w:rFonts w:ascii="Palatino Linotype" w:hAnsi="Palatino Linotype"/>
          <w:lang w:val="es-ES_tradnl"/>
        </w:rPr>
        <w:t xml:space="preserve"> debidamente fundado y motivado</w:t>
      </w:r>
      <w:r w:rsidR="00432C7E">
        <w:rPr>
          <w:rFonts w:ascii="Palatino Linotype" w:hAnsi="Palatino Linotype"/>
          <w:lang w:val="es-ES_tradnl"/>
        </w:rPr>
        <w:t>,</w:t>
      </w:r>
      <w:r w:rsidRPr="00A21DCA">
        <w:rPr>
          <w:rFonts w:ascii="Palatino Linotype" w:hAnsi="Palatino Linotype"/>
          <w:lang w:val="es-ES_tradnl"/>
        </w:rPr>
        <w:t xml:space="preserve"> </w:t>
      </w:r>
      <w:r w:rsidR="00432C7E">
        <w:rPr>
          <w:rFonts w:ascii="Palatino Linotype" w:hAnsi="Palatino Linotype"/>
          <w:lang w:val="es-ES_tradnl"/>
        </w:rPr>
        <w:t xml:space="preserve">pues </w:t>
      </w:r>
      <w:r w:rsidRPr="00A21DCA">
        <w:rPr>
          <w:rFonts w:ascii="Palatino Linotype" w:hAnsi="Palatino Linotype"/>
          <w:lang w:val="es-ES_tradnl"/>
        </w:rPr>
        <w:t xml:space="preserve">manifestó el motivo por el cual no </w:t>
      </w:r>
      <w:r w:rsidR="00852E5B">
        <w:rPr>
          <w:rFonts w:ascii="Palatino Linotype" w:hAnsi="Palatino Linotype"/>
          <w:lang w:val="es-ES_tradnl"/>
        </w:rPr>
        <w:t>se puede hacer entrega de la información</w:t>
      </w:r>
      <w:r w:rsidR="002C29FC">
        <w:rPr>
          <w:rFonts w:ascii="Palatino Linotype" w:hAnsi="Palatino Linotype"/>
          <w:lang w:val="es-ES_tradnl"/>
        </w:rPr>
        <w:t>.</w:t>
      </w:r>
    </w:p>
    <w:p w:rsidR="00F44407" w:rsidRDefault="00F44407" w:rsidP="009E0C3D">
      <w:pPr>
        <w:spacing w:line="360" w:lineRule="auto"/>
        <w:ind w:right="49"/>
        <w:jc w:val="both"/>
        <w:rPr>
          <w:rFonts w:ascii="Palatino Linotype" w:eastAsia="Calibri" w:hAnsi="Palatino Linotype" w:cs="Arial"/>
          <w:lang w:val="es-ES_tradnl"/>
        </w:rPr>
      </w:pPr>
      <w:r>
        <w:rPr>
          <w:rFonts w:ascii="Palatino Linotype" w:hAnsi="Palatino Linotype" w:cs="Arial"/>
        </w:rPr>
        <w:lastRenderedPageBreak/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1B0821">
        <w:rPr>
          <w:rFonts w:ascii="Palatino Linotype" w:hAnsi="Palatino Linotype" w:cs="Arial"/>
          <w:b/>
        </w:rPr>
        <w:t>MODIFICAR</w:t>
      </w:r>
      <w:r w:rsidRPr="006078FA">
        <w:rPr>
          <w:rFonts w:ascii="Palatino Linotype" w:hAnsi="Palatino Linotype" w:cs="Arial"/>
        </w:rPr>
        <w:t xml:space="preserve"> </w:t>
      </w:r>
      <w:r w:rsidR="001B0821">
        <w:rPr>
          <w:rFonts w:ascii="Palatino Linotype" w:hAnsi="Palatino Linotype" w:cs="Arial"/>
        </w:rPr>
        <w:t xml:space="preserve">la respuesta del </w:t>
      </w:r>
      <w:r w:rsidR="001B0821" w:rsidRPr="001B0821">
        <w:rPr>
          <w:rFonts w:ascii="Palatino Linotype" w:hAnsi="Palatino Linotype" w:cs="Arial"/>
          <w:b/>
        </w:rPr>
        <w:t>SUJETO OBLIGADO</w:t>
      </w:r>
      <w:r w:rsidR="001B0821">
        <w:rPr>
          <w:rFonts w:ascii="Palatino Linotype" w:hAnsi="Palatino Linotype" w:cs="Arial"/>
          <w:b/>
        </w:rPr>
        <w:t xml:space="preserve"> </w:t>
      </w:r>
      <w:r w:rsidR="001B0821">
        <w:rPr>
          <w:rFonts w:ascii="Palatino Linotype" w:hAnsi="Palatino Linotype" w:cs="Arial"/>
        </w:rPr>
        <w:t xml:space="preserve">ordenando la </w:t>
      </w:r>
      <w:r w:rsidR="00852E5B">
        <w:rPr>
          <w:rFonts w:ascii="Palatino Linotype" w:eastAsia="Calibri" w:hAnsi="Palatino Linotype" w:cs="Arial"/>
          <w:lang w:val="es-ES_tradnl"/>
        </w:rPr>
        <w:t>entrega</w:t>
      </w:r>
      <w:r w:rsidR="001B0821" w:rsidRPr="00A21DCA">
        <w:rPr>
          <w:rFonts w:ascii="Palatino Linotype" w:eastAsia="Calibri" w:hAnsi="Palatino Linotype" w:cs="Arial"/>
          <w:lang w:val="es-ES_tradnl"/>
        </w:rPr>
        <w:t xml:space="preserve"> vía Sistema de Acceso a la Información Mexiquense </w:t>
      </w:r>
      <w:r w:rsidR="001B0821" w:rsidRPr="001B0821">
        <w:rPr>
          <w:rFonts w:ascii="Palatino Linotype" w:eastAsia="Calibri" w:hAnsi="Palatino Linotype" w:cs="Arial"/>
          <w:lang w:val="es-ES_tradnl"/>
        </w:rPr>
        <w:t>(SAIMEX)</w:t>
      </w:r>
      <w:r w:rsidR="001B0821" w:rsidRPr="00A21DCA">
        <w:rPr>
          <w:rFonts w:ascii="Palatino Linotype" w:eastAsia="Calibri" w:hAnsi="Palatino Linotype" w:cs="Arial"/>
          <w:b/>
          <w:lang w:val="es-ES_tradnl"/>
        </w:rPr>
        <w:t xml:space="preserve">, </w:t>
      </w:r>
      <w:r w:rsidR="001B0821" w:rsidRPr="00A21DCA">
        <w:rPr>
          <w:rFonts w:ascii="Palatino Linotype" w:eastAsia="Calibri" w:hAnsi="Palatino Linotype" w:cs="Arial"/>
          <w:lang w:val="es-ES_tradnl"/>
        </w:rPr>
        <w:t xml:space="preserve">en versión pública </w:t>
      </w:r>
      <w:r w:rsidR="001B0821">
        <w:rPr>
          <w:rFonts w:ascii="Palatino Linotype" w:eastAsia="Calibri" w:hAnsi="Palatino Linotype" w:cs="Arial"/>
          <w:lang w:val="es-ES_tradnl"/>
        </w:rPr>
        <w:t xml:space="preserve">de ser procedente </w:t>
      </w:r>
      <w:r w:rsidR="00852E5B">
        <w:rPr>
          <w:rFonts w:ascii="Palatino Linotype" w:eastAsia="Calibri" w:hAnsi="Palatino Linotype" w:cs="Arial"/>
          <w:lang w:val="es-ES_tradnl"/>
        </w:rPr>
        <w:t xml:space="preserve">de </w:t>
      </w:r>
      <w:r w:rsidR="001B0821" w:rsidRPr="00A21DCA">
        <w:rPr>
          <w:rFonts w:ascii="Palatino Linotype" w:eastAsia="Calibri" w:hAnsi="Palatino Linotype" w:cs="Arial"/>
          <w:lang w:val="es-ES_tradnl"/>
        </w:rPr>
        <w:t>la siguiente información:</w:t>
      </w:r>
    </w:p>
    <w:p w:rsidR="001B0821" w:rsidRPr="002C29FC" w:rsidRDefault="001B0821" w:rsidP="009E0C3D">
      <w:pPr>
        <w:spacing w:line="360" w:lineRule="auto"/>
        <w:ind w:right="49"/>
        <w:jc w:val="both"/>
        <w:rPr>
          <w:rFonts w:ascii="Palatino Linotype" w:hAnsi="Palatino Linotype" w:cs="Arial"/>
          <w:sz w:val="16"/>
          <w:szCs w:val="16"/>
        </w:rPr>
      </w:pPr>
    </w:p>
    <w:p w:rsidR="001B0821" w:rsidRPr="001B0821" w:rsidRDefault="001B0821" w:rsidP="001B0821">
      <w:pPr>
        <w:pStyle w:val="Prrafodelista"/>
        <w:numPr>
          <w:ilvl w:val="0"/>
          <w:numId w:val="8"/>
        </w:numPr>
        <w:spacing w:before="240" w:after="160"/>
        <w:ind w:left="993" w:right="757"/>
        <w:jc w:val="both"/>
        <w:rPr>
          <w:rFonts w:ascii="Palatino Linotype" w:eastAsia="Calibri" w:hAnsi="Palatino Linotype" w:cs="Arial"/>
          <w:i/>
          <w:sz w:val="22"/>
          <w:szCs w:val="22"/>
          <w:lang w:val="es-ES_tradnl"/>
        </w:rPr>
      </w:pPr>
      <w:r w:rsidRPr="001B0821">
        <w:rPr>
          <w:rFonts w:ascii="Palatino Linotype" w:hAnsi="Palatino Linotype" w:cs="Arial"/>
          <w:i/>
          <w:sz w:val="22"/>
          <w:szCs w:val="22"/>
        </w:rPr>
        <w:t>El Acuerdo que emita el Comité de Transparencia en el que se confirme la declaración de incompetencia del SUJETO OBLIGADO en relación a los diagnósticos materia de la solicitud.</w:t>
      </w:r>
    </w:p>
    <w:p w:rsidR="001B0821" w:rsidRPr="001B0821" w:rsidRDefault="001B0821" w:rsidP="001B0821">
      <w:pPr>
        <w:pStyle w:val="Prrafodelista"/>
        <w:spacing w:before="240" w:after="160"/>
        <w:ind w:left="993" w:right="757"/>
        <w:jc w:val="both"/>
        <w:rPr>
          <w:rFonts w:ascii="Palatino Linotype" w:eastAsia="Calibri" w:hAnsi="Palatino Linotype" w:cs="Arial"/>
          <w:i/>
          <w:sz w:val="22"/>
          <w:szCs w:val="22"/>
          <w:lang w:val="es-ES_tradnl"/>
        </w:rPr>
      </w:pPr>
    </w:p>
    <w:p w:rsidR="001B0821" w:rsidRPr="001B0821" w:rsidRDefault="001B0821" w:rsidP="001B0821">
      <w:pPr>
        <w:pStyle w:val="Prrafodelista"/>
        <w:numPr>
          <w:ilvl w:val="0"/>
          <w:numId w:val="8"/>
        </w:numPr>
        <w:spacing w:before="240" w:after="160"/>
        <w:ind w:left="993" w:right="757"/>
        <w:jc w:val="both"/>
        <w:rPr>
          <w:rFonts w:ascii="Palatino Linotype" w:eastAsia="Calibri" w:hAnsi="Palatino Linotype" w:cs="Arial"/>
          <w:i/>
          <w:sz w:val="22"/>
          <w:szCs w:val="22"/>
          <w:lang w:val="es-ES_tradnl"/>
        </w:rPr>
      </w:pPr>
      <w:r w:rsidRPr="001B0821">
        <w:rPr>
          <w:rFonts w:ascii="Palatino Linotype" w:eastAsia="Arial Unicode MS" w:hAnsi="Palatino Linotype" w:cs="Arial"/>
          <w:i/>
          <w:sz w:val="22"/>
          <w:szCs w:val="22"/>
          <w:lang w:val="es-ES_tradnl"/>
        </w:rPr>
        <w:t xml:space="preserve">El o los documentos donde consten </w:t>
      </w:r>
      <w:r w:rsidRPr="001B0821">
        <w:rPr>
          <w:rFonts w:ascii="Palatino Linotype" w:hAnsi="Palatino Linotype" w:cs="Arial"/>
          <w:i/>
          <w:sz w:val="22"/>
          <w:szCs w:val="22"/>
          <w:lang w:val="es-ES_tradnl" w:eastAsia="es-MX"/>
        </w:rPr>
        <w:t xml:space="preserve">las estrategias generales </w:t>
      </w:r>
      <w:r w:rsidRPr="001B0821">
        <w:rPr>
          <w:rFonts w:ascii="Palatino Linotype" w:eastAsia="Calibri" w:hAnsi="Palatino Linotype" w:cs="Arial"/>
          <w:i/>
          <w:sz w:val="22"/>
          <w:szCs w:val="22"/>
          <w:lang w:val="es-ES_tradnl"/>
        </w:rPr>
        <w:t>que se llevan o se llevaran a cabo en las 140 colonias de 28 municipios mexiquenses, derivadas del Primer Congreso Internacional de Prevención Social de la Violencia y Delincuencia.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 xml:space="preserve">En ese sentido, la que suscribe reitera, que si bien coincide en términos generales </w:t>
      </w:r>
      <w:r>
        <w:rPr>
          <w:rFonts w:ascii="Palatino Linotype" w:hAnsi="Palatino Linotype" w:cs="Arial"/>
        </w:rPr>
        <w:t xml:space="preserve">con el sentido de la resolución en comento, considero, que se encuadra la hipótesis contenida en los artículos 159 y 160 de la Ley General de Transparencia y Acceso a la Información Pública, a fin de interponer el recurso de inconformidad ante el 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>
        <w:rPr>
          <w:rFonts w:ascii="Palatino Linotype" w:hAnsi="Palatino Linotype" w:cs="Arial"/>
        </w:rPr>
        <w:t xml:space="preserve"> Protección de Datos Personales.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anterior, obedece a que </w:t>
      </w:r>
      <w:r w:rsidR="000D3DBA">
        <w:rPr>
          <w:rFonts w:ascii="Palatino Linotype" w:hAnsi="Palatino Linotype" w:cs="Arial"/>
        </w:rPr>
        <w:t xml:space="preserve">derivado de la diligencia llevada a cabo en las instalaciones  de este Órgano Garante </w:t>
      </w:r>
      <w:r>
        <w:rPr>
          <w:rFonts w:ascii="Palatino Linotype" w:hAnsi="Palatino Linotype" w:cs="Arial"/>
        </w:rPr>
        <w:t>se advierte</w:t>
      </w:r>
      <w:r w:rsidR="0084457B">
        <w:rPr>
          <w:rFonts w:ascii="Palatino Linotype" w:hAnsi="Palatino Linotype" w:cs="Arial"/>
        </w:rPr>
        <w:t xml:space="preserve"> que</w:t>
      </w:r>
      <w:r>
        <w:rPr>
          <w:rFonts w:ascii="Palatino Linotype" w:hAnsi="Palatino Linotype" w:cs="Arial"/>
        </w:rPr>
        <w:t xml:space="preserve"> </w:t>
      </w:r>
      <w:r w:rsidR="009E0C3D" w:rsidRPr="009E0C3D">
        <w:rPr>
          <w:rFonts w:ascii="Palatino Linotype" w:hAnsi="Palatino Linotype" w:cs="Arial"/>
          <w:b/>
        </w:rPr>
        <w:t>EL SUJETO OBLIGADO</w:t>
      </w:r>
      <w:r w:rsidR="009E0C3D">
        <w:rPr>
          <w:rFonts w:ascii="Palatino Linotype" w:hAnsi="Palatino Linotype" w:cs="Arial"/>
        </w:rPr>
        <w:t xml:space="preserve"> proporcionó</w:t>
      </w:r>
      <w:r w:rsidR="00251C7D">
        <w:rPr>
          <w:rFonts w:ascii="Palatino Linotype" w:hAnsi="Palatino Linotype" w:cs="Arial"/>
        </w:rPr>
        <w:t xml:space="preserve"> </w:t>
      </w:r>
      <w:r w:rsidR="0056545A" w:rsidRPr="00A21DCA">
        <w:rPr>
          <w:rFonts w:ascii="Palatino Linotype" w:hAnsi="Palatino Linotype"/>
          <w:lang w:val="es-ES_tradnl"/>
        </w:rPr>
        <w:t xml:space="preserve">el Acta de la Octava Sesión Extraordinaria del </w:t>
      </w:r>
      <w:r w:rsidR="00852E5B">
        <w:rPr>
          <w:rFonts w:ascii="Palatino Linotype" w:hAnsi="Palatino Linotype"/>
          <w:lang w:val="es-ES_tradnl"/>
        </w:rPr>
        <w:t>Comité de T</w:t>
      </w:r>
      <w:r w:rsidR="0056545A" w:rsidRPr="00A21DCA">
        <w:rPr>
          <w:rFonts w:ascii="Palatino Linotype" w:hAnsi="Palatino Linotype"/>
          <w:lang w:val="es-ES_tradnl"/>
        </w:rPr>
        <w:t>ransparencia del Secretariado Ejecutivo del Sistema Estatal de Seguridad Pública de</w:t>
      </w:r>
      <w:r w:rsidR="00852E5B">
        <w:rPr>
          <w:rFonts w:ascii="Palatino Linotype" w:hAnsi="Palatino Linotype"/>
          <w:lang w:val="es-ES_tradnl"/>
        </w:rPr>
        <w:t>l Estado de México así como su a</w:t>
      </w:r>
      <w:r w:rsidR="0056545A" w:rsidRPr="00A21DCA">
        <w:rPr>
          <w:rFonts w:ascii="Palatino Linotype" w:hAnsi="Palatino Linotype"/>
          <w:lang w:val="es-ES_tradnl"/>
        </w:rPr>
        <w:t>nexo</w:t>
      </w:r>
      <w:r w:rsidR="00852E5B">
        <w:rPr>
          <w:rFonts w:ascii="Palatino Linotype" w:hAnsi="Palatino Linotype"/>
          <w:lang w:val="es-ES_tradnl"/>
        </w:rPr>
        <w:t>, en el cual se  aprobó</w:t>
      </w:r>
      <w:r w:rsidR="0056545A" w:rsidRPr="00A21DCA">
        <w:rPr>
          <w:rFonts w:ascii="Palatino Linotype" w:hAnsi="Palatino Linotype"/>
          <w:lang w:val="es-ES_tradnl"/>
        </w:rPr>
        <w:t xml:space="preserve"> la clasificación de la información como reservada</w:t>
      </w:r>
      <w:r w:rsidR="00852E5B">
        <w:rPr>
          <w:rFonts w:ascii="Palatino Linotype" w:hAnsi="Palatino Linotype"/>
          <w:lang w:val="es-ES_tradnl"/>
        </w:rPr>
        <w:t>, de manera fundad y motivada.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En ese contexto, conviene precisar que los artículos 159 y 160 de la Ley General, se encuentran inmersos en el Título Octavo de la Ley en cita, denominado “De los Procedimientos de Impugnación en Materia de Acceso a la Información Pública”, es</w:t>
      </w:r>
      <w:r w:rsidR="002C29FC">
        <w:rPr>
          <w:rFonts w:ascii="Palatino Linotype" w:hAnsi="Palatino Linotype" w:cs="Arial"/>
        </w:rPr>
        <w:t>pecíficamente en el Capítulo II</w:t>
      </w:r>
      <w:r>
        <w:rPr>
          <w:rFonts w:ascii="Palatino Linotype" w:hAnsi="Palatino Linotype" w:cs="Arial"/>
        </w:rPr>
        <w:t xml:space="preserve"> denominado “Del Recurso de Inconformidad ante el Instituto”, el cual, nos hace mención de las instancias ante las cuales se podrá interponer el recurso de inconformidad y los supuestos legales en los que procede, tal y como se aprecia a continuación: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F44407" w:rsidRPr="00D642EC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0D1731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F44407" w:rsidRPr="00F629E6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F44407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D642EC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se advierte que</w:t>
      </w:r>
      <w:r w:rsidR="0084457B">
        <w:rPr>
          <w:rFonts w:ascii="Palatino Linotype" w:hAnsi="Palatino Linotype" w:cs="Arial"/>
        </w:rPr>
        <w:t xml:space="preserve"> los</w:t>
      </w:r>
      <w:r w:rsidR="009E0C3D">
        <w:rPr>
          <w:rFonts w:ascii="Palatino Linotype" w:hAnsi="Palatino Linotype" w:cs="Arial"/>
        </w:rPr>
        <w:t xml:space="preserve"> artículo</w:t>
      </w:r>
      <w:r w:rsidR="0084457B">
        <w:rPr>
          <w:rFonts w:ascii="Palatino Linotype" w:hAnsi="Palatino Linotype" w:cs="Arial"/>
        </w:rPr>
        <w:t>s</w:t>
      </w:r>
      <w:r w:rsidR="009E0C3D">
        <w:rPr>
          <w:rFonts w:ascii="Palatino Linotype" w:hAnsi="Palatino Linotype" w:cs="Arial"/>
        </w:rPr>
        <w:t xml:space="preserve"> en cita </w:t>
      </w:r>
      <w:r>
        <w:rPr>
          <w:rFonts w:ascii="Palatino Linotype" w:hAnsi="Palatino Linotype" w:cs="Arial"/>
        </w:rPr>
        <w:t xml:space="preserve"> resulta</w:t>
      </w:r>
      <w:r w:rsidR="0084457B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aplicable</w:t>
      </w:r>
      <w:r w:rsidR="008445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al asunto en concreto, toda vez que </w:t>
      </w:r>
      <w:r w:rsidR="0084457B">
        <w:rPr>
          <w:rFonts w:ascii="Palatino Linotype" w:hAnsi="Palatino Linotype" w:cs="Arial"/>
        </w:rPr>
        <w:t xml:space="preserve">Ponencia </w:t>
      </w:r>
      <w:proofErr w:type="spellStart"/>
      <w:r w:rsidR="0084457B"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confirmó </w:t>
      </w:r>
      <w:r w:rsidR="0084457B">
        <w:rPr>
          <w:rFonts w:ascii="Palatino Linotype" w:hAnsi="Palatino Linotype" w:cs="Arial"/>
        </w:rPr>
        <w:t xml:space="preserve">el Acuerdo de </w:t>
      </w:r>
      <w:r w:rsidR="00251C7D">
        <w:rPr>
          <w:rFonts w:ascii="Palatino Linotype" w:hAnsi="Palatino Linotype" w:cs="Arial"/>
        </w:rPr>
        <w:t>clasificación</w:t>
      </w:r>
      <w:r>
        <w:rPr>
          <w:rFonts w:ascii="Palatino Linotype" w:hAnsi="Palatino Linotype" w:cs="Arial"/>
        </w:rPr>
        <w:t xml:space="preserve"> de la información; </w:t>
      </w:r>
      <w:r w:rsidR="0084457B">
        <w:rPr>
          <w:rFonts w:ascii="Palatino Linotype" w:hAnsi="Palatino Linotype" w:cs="Arial"/>
        </w:rPr>
        <w:t xml:space="preserve">aprobado por </w:t>
      </w:r>
      <w:r w:rsidR="0084457B" w:rsidRPr="0084457B">
        <w:rPr>
          <w:rFonts w:ascii="Palatino Linotype" w:hAnsi="Palatino Linotype" w:cs="Arial"/>
          <w:b/>
        </w:rPr>
        <w:t xml:space="preserve">EL SUJETO OBLIGADO </w:t>
      </w:r>
      <w:r w:rsidR="0084457B">
        <w:rPr>
          <w:rFonts w:ascii="Palatino Linotype" w:hAnsi="Palatino Linotype" w:cs="Arial"/>
        </w:rPr>
        <w:t>a través del Comité de Transparencia.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Para mayor claridad de lo aducido, se debe establecer que para confirmar o modificar la clasificación de la información, primero, </w:t>
      </w:r>
      <w:r w:rsidRPr="00772978">
        <w:rPr>
          <w:rFonts w:ascii="Palatino Linotype" w:hAnsi="Palatino Linotype" w:cs="Arial"/>
          <w:b/>
        </w:rPr>
        <w:t>EL SUJETO OBLIGADO</w:t>
      </w:r>
      <w:r w:rsidR="009E0C3D">
        <w:rPr>
          <w:rFonts w:ascii="Palatino Linotype" w:hAnsi="Palatino Linotype" w:cs="Arial"/>
        </w:rPr>
        <w:t xml:space="preserve"> debe</w:t>
      </w:r>
      <w:r>
        <w:rPr>
          <w:rFonts w:ascii="Palatino Linotype" w:hAnsi="Palatino Linotype" w:cs="Arial"/>
        </w:rPr>
        <w:t xml:space="preserve"> haber remitido el Acuerdo del Comité de Transparencia en virtud del cual se </w:t>
      </w:r>
      <w:r w:rsidR="008D53CF">
        <w:rPr>
          <w:rFonts w:ascii="Palatino Linotype" w:hAnsi="Palatino Linotype" w:cs="Arial"/>
        </w:rPr>
        <w:t xml:space="preserve">determine la </w:t>
      </w:r>
      <w:r w:rsidR="00852E5B">
        <w:rPr>
          <w:rFonts w:ascii="Palatino Linotype" w:hAnsi="Palatino Linotype" w:cs="Arial"/>
        </w:rPr>
        <w:t>misma</w:t>
      </w:r>
      <w:r w:rsidR="006B0B04">
        <w:rPr>
          <w:rFonts w:ascii="Palatino Linotype" w:hAnsi="Palatino Linotype" w:cs="Arial"/>
        </w:rPr>
        <w:t xml:space="preserve">, situación que se advierte dentro del expediente electrónico del SAIMEX, toda vez que efectivamente </w:t>
      </w:r>
      <w:r w:rsidR="006B0B04" w:rsidRPr="006B0B04">
        <w:rPr>
          <w:rFonts w:ascii="Palatino Linotype" w:hAnsi="Palatino Linotype" w:cs="Arial"/>
          <w:b/>
        </w:rPr>
        <w:t>EL SUJETO OBLIGADO</w:t>
      </w:r>
      <w:r w:rsidR="006B0B04">
        <w:rPr>
          <w:rFonts w:ascii="Palatino Linotype" w:hAnsi="Palatino Linotype" w:cs="Arial"/>
        </w:rPr>
        <w:t xml:space="preserve"> remitió </w:t>
      </w:r>
      <w:r w:rsidR="003C7F08">
        <w:rPr>
          <w:rFonts w:ascii="Palatino Linotype" w:hAnsi="Palatino Linotype"/>
        </w:rPr>
        <w:t>el Acuer</w:t>
      </w:r>
      <w:r w:rsidR="00785E66">
        <w:rPr>
          <w:rFonts w:ascii="Palatino Linotype" w:hAnsi="Palatino Linotype"/>
        </w:rPr>
        <w:t>do de Clasificación</w:t>
      </w:r>
      <w:r w:rsidR="002A6074">
        <w:rPr>
          <w:rFonts w:ascii="Palatino Linotype" w:hAnsi="Palatino Linotype"/>
        </w:rPr>
        <w:t xml:space="preserve"> de la información como</w:t>
      </w:r>
      <w:r w:rsidR="00785E66">
        <w:rPr>
          <w:rFonts w:ascii="Palatino Linotype" w:hAnsi="Palatino Linotype"/>
        </w:rPr>
        <w:t xml:space="preserve"> reserva</w:t>
      </w:r>
      <w:r w:rsidR="002A6074">
        <w:rPr>
          <w:rFonts w:ascii="Palatino Linotype" w:hAnsi="Palatino Linotype"/>
        </w:rPr>
        <w:t>da</w:t>
      </w:r>
      <w:r w:rsidR="003C7F08">
        <w:rPr>
          <w:rFonts w:ascii="Palatino Linotype" w:hAnsi="Palatino Linotype"/>
        </w:rPr>
        <w:t>, documento que contiene la motivación y fundamentación pertinente</w:t>
      </w:r>
      <w:r w:rsidR="002A6074">
        <w:rPr>
          <w:rFonts w:ascii="Palatino Linotype" w:hAnsi="Palatino Linotype"/>
        </w:rPr>
        <w:t xml:space="preserve"> ya</w:t>
      </w:r>
      <w:r w:rsidR="003C7F08">
        <w:rPr>
          <w:rFonts w:ascii="Palatino Linotype" w:hAnsi="Palatino Linotype"/>
        </w:rPr>
        <w:t xml:space="preserve"> que sustenta </w:t>
      </w:r>
      <w:r w:rsidR="002A6074">
        <w:rPr>
          <w:rFonts w:ascii="Palatino Linotype" w:hAnsi="Palatino Linotype"/>
        </w:rPr>
        <w:t>el por qué no es viable otorgar</w:t>
      </w:r>
      <w:r w:rsidR="003C7F08">
        <w:rPr>
          <w:rFonts w:ascii="Palatino Linotype" w:hAnsi="Palatino Linotype"/>
        </w:rPr>
        <w:t>.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Pr="00B8397C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251C7D">
        <w:rPr>
          <w:rFonts w:ascii="Palatino Linotype" w:hAnsi="Palatino Linotype" w:cs="Arial"/>
        </w:rPr>
        <w:t>, la que suscribe</w:t>
      </w:r>
      <w:r>
        <w:rPr>
          <w:rFonts w:ascii="Palatino Linotype" w:hAnsi="Palatino Linotype" w:cs="Arial"/>
        </w:rPr>
        <w:t xml:space="preserve"> emite </w:t>
      </w:r>
      <w:r w:rsidRPr="00BB18A2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</w:t>
      </w:r>
      <w:r w:rsidR="00251C7D">
        <w:rPr>
          <w:rFonts w:ascii="Palatino Linotype" w:hAnsi="Palatino Linotype" w:cs="Arial"/>
        </w:rPr>
        <w:t>ya que considero</w:t>
      </w:r>
      <w:r>
        <w:rPr>
          <w:rFonts w:ascii="Palatino Linotype" w:hAnsi="Palatino Linotype" w:cs="Arial"/>
        </w:rPr>
        <w:t xml:space="preserve"> que se debieron invocar dichos artículos en </w:t>
      </w:r>
      <w:r w:rsidR="006B0B04">
        <w:rPr>
          <w:rFonts w:ascii="Palatino Linotype" w:hAnsi="Palatino Linotype" w:cs="Arial"/>
        </w:rPr>
        <w:t>los resolutivos</w:t>
      </w:r>
      <w:r>
        <w:rPr>
          <w:rFonts w:ascii="Palatino Linotype" w:hAnsi="Palatino Linotype" w:cs="Arial"/>
        </w:rPr>
        <w:t xml:space="preserve"> de la resolución de mérito</w:t>
      </w:r>
      <w:r w:rsidR="008D53CF">
        <w:rPr>
          <w:rFonts w:ascii="Palatino Linotype" w:hAnsi="Palatino Linotype" w:cs="Arial"/>
        </w:rPr>
        <w:t xml:space="preserve"> al ser procedentes</w:t>
      </w:r>
      <w:r>
        <w:rPr>
          <w:rFonts w:ascii="Palatino Linotype" w:hAnsi="Palatino Linotype" w:cs="Arial"/>
        </w:rPr>
        <w:t>;</w:t>
      </w:r>
      <w:r>
        <w:rPr>
          <w:rFonts w:ascii="Palatino Linotype" w:hAnsi="Palatino Linotype"/>
        </w:rPr>
        <w:t xml:space="preserve"> por lo que, </w:t>
      </w:r>
      <w:r>
        <w:rPr>
          <w:rFonts w:ascii="Palatino Linotype" w:hAnsi="Palatino Linotype" w:cs="Arial"/>
        </w:rPr>
        <w:t xml:space="preserve">se insiste, que de las constancias del expediente </w:t>
      </w:r>
      <w:r w:rsidR="006B0B04">
        <w:rPr>
          <w:rFonts w:ascii="Palatino Linotype" w:hAnsi="Palatino Linotype" w:cs="Arial"/>
        </w:rPr>
        <w:t>se advierten actos que encuadra</w:t>
      </w:r>
      <w:r>
        <w:rPr>
          <w:rFonts w:ascii="Palatino Linotype" w:hAnsi="Palatino Linotype" w:cs="Arial"/>
        </w:rPr>
        <w:t xml:space="preserve">n en los supuestos legales señalados en los numerales </w:t>
      </w:r>
      <w:r w:rsidRPr="00DF304A">
        <w:rPr>
          <w:rFonts w:ascii="Palatino Linotype" w:hAnsi="Palatino Linotype" w:cs="Arial"/>
        </w:rPr>
        <w:t>159 y 160 de la Ley General de Transparencia y Acceso a la Información Pública</w:t>
      </w:r>
      <w:r w:rsidR="008D53CF">
        <w:rPr>
          <w:rFonts w:ascii="Palatino Linotype" w:hAnsi="Palatino Linotype" w:cs="Arial"/>
        </w:rPr>
        <w:t>, en atención a los principios inmersos en el artículo 9 de la Ley de Transparencia y Acceso a la Información Pública del Estado de México y Municipios</w:t>
      </w:r>
      <w:r w:rsidR="00251C7D">
        <w:rPr>
          <w:rFonts w:ascii="Palatino Linotype" w:hAnsi="Palatino Linotype" w:cs="Arial"/>
        </w:rPr>
        <w:t xml:space="preserve"> y </w:t>
      </w:r>
      <w:r w:rsidR="0023503A">
        <w:rPr>
          <w:rFonts w:ascii="Palatino Linotype" w:hAnsi="Palatino Linotype" w:cs="Arial"/>
        </w:rPr>
        <w:t>de conformidad</w:t>
      </w:r>
      <w:r w:rsidR="00251C7D">
        <w:rPr>
          <w:rFonts w:ascii="Palatino Linotype" w:hAnsi="Palatino Linotype" w:cs="Arial"/>
        </w:rPr>
        <w:t xml:space="preserve"> a los principios de exhaustividad y congruencia.</w:t>
      </w:r>
    </w:p>
    <w:tbl>
      <w:tblPr>
        <w:tblStyle w:val="Tablaconcuadrcula"/>
        <w:tblpPr w:leftFromText="141" w:rightFromText="141" w:vertAnchor="page" w:horzAnchor="page" w:tblpX="4456" w:tblpY="99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</w:tblGrid>
      <w:tr w:rsidR="007219F8" w:rsidTr="007219F8">
        <w:tc>
          <w:tcPr>
            <w:tcW w:w="4555" w:type="dxa"/>
          </w:tcPr>
          <w:p w:rsidR="007219F8" w:rsidRPr="00C37CCA" w:rsidRDefault="007219F8" w:rsidP="007219F8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  <w:sz w:val="6"/>
                <w:szCs w:val="16"/>
              </w:rPr>
            </w:pPr>
          </w:p>
          <w:p w:rsidR="007219F8" w:rsidRPr="00C37CCA" w:rsidRDefault="007219F8" w:rsidP="007219F8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  <w:sz w:val="12"/>
                <w:szCs w:val="16"/>
              </w:rPr>
            </w:pPr>
          </w:p>
          <w:p w:rsidR="007219F8" w:rsidRPr="00457590" w:rsidRDefault="007219F8" w:rsidP="007219F8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</w:t>
            </w: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</w:tc>
      </w:tr>
      <w:tr w:rsidR="007219F8" w:rsidTr="007219F8">
        <w:tc>
          <w:tcPr>
            <w:tcW w:w="4555" w:type="dxa"/>
          </w:tcPr>
          <w:p w:rsidR="007219F8" w:rsidRPr="00457590" w:rsidRDefault="007219F8" w:rsidP="007219F8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  </w:t>
            </w: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</w:tc>
      </w:tr>
      <w:tr w:rsidR="007219F8" w:rsidTr="007219F8">
        <w:tc>
          <w:tcPr>
            <w:tcW w:w="4555" w:type="dxa"/>
          </w:tcPr>
          <w:p w:rsidR="007219F8" w:rsidRDefault="007219F8" w:rsidP="007219F8">
            <w:pPr>
              <w:tabs>
                <w:tab w:val="left" w:pos="1500"/>
              </w:tabs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       </w:t>
            </w:r>
            <w:bookmarkStart w:id="0" w:name="_GoBack"/>
            <w:bookmarkEnd w:id="0"/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2C29FC" w:rsidRPr="00C37CCA" w:rsidRDefault="002C29FC" w:rsidP="00707F8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16"/>
        </w:rPr>
      </w:pPr>
    </w:p>
    <w:p w:rsidR="009B582A" w:rsidRPr="00C37CCA" w:rsidRDefault="009B582A" w:rsidP="00707F8E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16"/>
          <w:szCs w:val="20"/>
        </w:rPr>
      </w:pPr>
    </w:p>
    <w:p w:rsidR="002C29FC" w:rsidRDefault="002C29FC" w:rsidP="00707F8E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C7F08" w:rsidRDefault="003C7F08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C29FC" w:rsidRDefault="002C29FC" w:rsidP="002C29F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C29FC" w:rsidRPr="00C37CCA" w:rsidRDefault="002C29FC" w:rsidP="002C29FC">
      <w:pPr>
        <w:jc w:val="both"/>
        <w:rPr>
          <w:rFonts w:ascii="Palatino Linotype" w:eastAsia="Calibri" w:hAnsi="Palatino Linotype" w:cs="Arial"/>
          <w:color w:val="000000" w:themeColor="text1"/>
          <w:sz w:val="16"/>
          <w:szCs w:val="16"/>
        </w:rPr>
      </w:pPr>
    </w:p>
    <w:p w:rsidR="00C37CCA" w:rsidRPr="001A247A" w:rsidRDefault="00C37CCA" w:rsidP="002C29FC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B95DD2" w:rsidRPr="001A247A" w:rsidRDefault="00EA0E3A" w:rsidP="002C29F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7617DE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 voto particular emitido en la resolución de</w:t>
      </w:r>
      <w:r w:rsidR="00B95DD2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7617DE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</w:t>
      </w:r>
      <w:r w:rsidR="00785E66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03513</w:t>
      </w:r>
      <w:r w:rsidR="00846499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="007617DE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aprobad</w:t>
      </w:r>
      <w:r w:rsidR="003A78C6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 el </w:t>
      </w:r>
      <w:r w:rsidR="00785E66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veintiocho de noviembre</w:t>
      </w:r>
      <w:r w:rsidR="007617DE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dieciocho. </w:t>
      </w:r>
    </w:p>
    <w:p w:rsidR="00A517EA" w:rsidRPr="001A247A" w:rsidRDefault="003C7F08" w:rsidP="002C29FC">
      <w:pPr>
        <w:jc w:val="both"/>
        <w:rPr>
          <w:sz w:val="20"/>
          <w:szCs w:val="20"/>
        </w:rPr>
      </w:pPr>
      <w:r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8D53CF" w:rsidRPr="001A2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/EJCA</w:t>
      </w:r>
    </w:p>
    <w:sectPr w:rsidR="00A517EA" w:rsidRPr="001A247A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D8" w:rsidRDefault="00A71FD8" w:rsidP="00DB3A83">
      <w:r>
        <w:separator/>
      </w:r>
    </w:p>
  </w:endnote>
  <w:endnote w:type="continuationSeparator" w:id="0">
    <w:p w:rsidR="00A71FD8" w:rsidRDefault="00A71FD8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7219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7219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7219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7219F8" w:rsidP="007A1DBB">
    <w:pPr>
      <w:pStyle w:val="Piedepgina"/>
      <w:jc w:val="center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219F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219F8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7219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D8" w:rsidRDefault="00A71FD8" w:rsidP="00DB3A83">
      <w:r>
        <w:separator/>
      </w:r>
    </w:p>
  </w:footnote>
  <w:footnote w:type="continuationSeparator" w:id="0">
    <w:p w:rsidR="00A71FD8" w:rsidRDefault="00A71FD8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7219F8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7219F8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AE03F1">
      <w:rPr>
        <w:rFonts w:ascii="Palatino Linotype" w:hAnsi="Palatino Linotype" w:cs="Arial"/>
        <w:sz w:val="20"/>
        <w:szCs w:val="20"/>
      </w:rPr>
      <w:t xml:space="preserve"> </w:t>
    </w:r>
  </w:p>
  <w:p w:rsidR="00823404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23404" w:rsidRPr="00823404">
      <w:rPr>
        <w:rFonts w:ascii="Palatino Linotype" w:hAnsi="Palatino Linotype" w:cs="Arial"/>
        <w:sz w:val="20"/>
        <w:szCs w:val="20"/>
      </w:rPr>
      <w:t>0</w:t>
    </w:r>
    <w:r w:rsidR="00F05923">
      <w:rPr>
        <w:rFonts w:ascii="Palatino Linotype" w:hAnsi="Palatino Linotype" w:cs="Arial"/>
        <w:sz w:val="20"/>
        <w:szCs w:val="20"/>
      </w:rPr>
      <w:t>3513</w:t>
    </w:r>
    <w:r w:rsidR="009C290A">
      <w:rPr>
        <w:rFonts w:ascii="Palatino Linotype" w:hAnsi="Palatino Linotype" w:cs="Arial"/>
        <w:sz w:val="20"/>
        <w:szCs w:val="20"/>
      </w:rPr>
      <w:t>/INFOEM/IP/RR/2018</w:t>
    </w:r>
    <w:r w:rsidR="00823404" w:rsidRPr="00823404">
      <w:rPr>
        <w:rFonts w:ascii="Palatino Linotype" w:hAnsi="Palatino Linotype" w:cs="Arial"/>
        <w:sz w:val="20"/>
        <w:szCs w:val="20"/>
      </w:rPr>
      <w:t xml:space="preserve"> </w:t>
    </w:r>
  </w:p>
  <w:p w:rsidR="00125D2F" w:rsidRDefault="007219F8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830" o:spid="_x0000_s2049" type="#_x0000_t136" style="position:absolute;left:0;text-align:left;margin-left:0;margin-top:0;width:703.5pt;height:75.4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0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5CB"/>
    <w:multiLevelType w:val="hybridMultilevel"/>
    <w:tmpl w:val="F5905F2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A02F5"/>
    <w:multiLevelType w:val="hybridMultilevel"/>
    <w:tmpl w:val="AFD85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F0B38"/>
    <w:multiLevelType w:val="hybridMultilevel"/>
    <w:tmpl w:val="3328DE60"/>
    <w:lvl w:ilvl="0" w:tplc="582C17C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91533"/>
    <w:multiLevelType w:val="hybridMultilevel"/>
    <w:tmpl w:val="E9C49A98"/>
    <w:lvl w:ilvl="0" w:tplc="080A0017">
      <w:start w:val="1"/>
      <w:numFmt w:val="lowerLetter"/>
      <w:lvlText w:val="%1)"/>
      <w:lvlJc w:val="left"/>
      <w:pPr>
        <w:ind w:left="5606" w:hanging="360"/>
      </w:pPr>
    </w:lvl>
    <w:lvl w:ilvl="1" w:tplc="080A0019" w:tentative="1">
      <w:start w:val="1"/>
      <w:numFmt w:val="lowerLetter"/>
      <w:lvlText w:val="%2."/>
      <w:lvlJc w:val="left"/>
      <w:pPr>
        <w:ind w:left="6326" w:hanging="360"/>
      </w:pPr>
    </w:lvl>
    <w:lvl w:ilvl="2" w:tplc="080A001B" w:tentative="1">
      <w:start w:val="1"/>
      <w:numFmt w:val="lowerRoman"/>
      <w:lvlText w:val="%3."/>
      <w:lvlJc w:val="right"/>
      <w:pPr>
        <w:ind w:left="7046" w:hanging="180"/>
      </w:pPr>
    </w:lvl>
    <w:lvl w:ilvl="3" w:tplc="080A000F" w:tentative="1">
      <w:start w:val="1"/>
      <w:numFmt w:val="decimal"/>
      <w:lvlText w:val="%4."/>
      <w:lvlJc w:val="left"/>
      <w:pPr>
        <w:ind w:left="7766" w:hanging="360"/>
      </w:pPr>
    </w:lvl>
    <w:lvl w:ilvl="4" w:tplc="080A0019" w:tentative="1">
      <w:start w:val="1"/>
      <w:numFmt w:val="lowerLetter"/>
      <w:lvlText w:val="%5."/>
      <w:lvlJc w:val="left"/>
      <w:pPr>
        <w:ind w:left="8486" w:hanging="360"/>
      </w:pPr>
    </w:lvl>
    <w:lvl w:ilvl="5" w:tplc="080A001B" w:tentative="1">
      <w:start w:val="1"/>
      <w:numFmt w:val="lowerRoman"/>
      <w:lvlText w:val="%6."/>
      <w:lvlJc w:val="right"/>
      <w:pPr>
        <w:ind w:left="9206" w:hanging="180"/>
      </w:pPr>
    </w:lvl>
    <w:lvl w:ilvl="6" w:tplc="080A000F" w:tentative="1">
      <w:start w:val="1"/>
      <w:numFmt w:val="decimal"/>
      <w:lvlText w:val="%7."/>
      <w:lvlJc w:val="left"/>
      <w:pPr>
        <w:ind w:left="9926" w:hanging="360"/>
      </w:pPr>
    </w:lvl>
    <w:lvl w:ilvl="7" w:tplc="080A0019" w:tentative="1">
      <w:start w:val="1"/>
      <w:numFmt w:val="lowerLetter"/>
      <w:lvlText w:val="%8."/>
      <w:lvlJc w:val="left"/>
      <w:pPr>
        <w:ind w:left="10646" w:hanging="360"/>
      </w:pPr>
    </w:lvl>
    <w:lvl w:ilvl="8" w:tplc="080A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>
    <w:nsid w:val="49936055"/>
    <w:multiLevelType w:val="hybridMultilevel"/>
    <w:tmpl w:val="BDB66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9D43F3"/>
    <w:multiLevelType w:val="hybridMultilevel"/>
    <w:tmpl w:val="FACC0DE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405BB6"/>
    <w:multiLevelType w:val="hybridMultilevel"/>
    <w:tmpl w:val="01767F06"/>
    <w:lvl w:ilvl="0" w:tplc="76ECB1B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B0006"/>
    <w:rsid w:val="000D3DBA"/>
    <w:rsid w:val="000E2158"/>
    <w:rsid w:val="000F0C55"/>
    <w:rsid w:val="001464A6"/>
    <w:rsid w:val="00155AA2"/>
    <w:rsid w:val="00191CF3"/>
    <w:rsid w:val="001976FE"/>
    <w:rsid w:val="001A247A"/>
    <w:rsid w:val="001A4EE8"/>
    <w:rsid w:val="001B0821"/>
    <w:rsid w:val="001E56B6"/>
    <w:rsid w:val="00206149"/>
    <w:rsid w:val="00216380"/>
    <w:rsid w:val="0023503A"/>
    <w:rsid w:val="00242456"/>
    <w:rsid w:val="00243FBB"/>
    <w:rsid w:val="00251C7D"/>
    <w:rsid w:val="00254372"/>
    <w:rsid w:val="00260EA1"/>
    <w:rsid w:val="002670A2"/>
    <w:rsid w:val="00296C85"/>
    <w:rsid w:val="002A6074"/>
    <w:rsid w:val="002C29FC"/>
    <w:rsid w:val="00303EAE"/>
    <w:rsid w:val="00324EBE"/>
    <w:rsid w:val="00387A27"/>
    <w:rsid w:val="003A78C6"/>
    <w:rsid w:val="003C2F6A"/>
    <w:rsid w:val="003C7F08"/>
    <w:rsid w:val="00404F4A"/>
    <w:rsid w:val="00411EDA"/>
    <w:rsid w:val="00432C7E"/>
    <w:rsid w:val="00437359"/>
    <w:rsid w:val="004A2D32"/>
    <w:rsid w:val="004B5C25"/>
    <w:rsid w:val="00527EC7"/>
    <w:rsid w:val="0053148C"/>
    <w:rsid w:val="0056545A"/>
    <w:rsid w:val="00590A83"/>
    <w:rsid w:val="005A4D7F"/>
    <w:rsid w:val="005B3099"/>
    <w:rsid w:val="00654FE9"/>
    <w:rsid w:val="00666BD2"/>
    <w:rsid w:val="006801D4"/>
    <w:rsid w:val="00697836"/>
    <w:rsid w:val="006B0B04"/>
    <w:rsid w:val="006B0D54"/>
    <w:rsid w:val="006B30CD"/>
    <w:rsid w:val="006C7D0A"/>
    <w:rsid w:val="006D731E"/>
    <w:rsid w:val="00707F8E"/>
    <w:rsid w:val="007219F8"/>
    <w:rsid w:val="00726EF2"/>
    <w:rsid w:val="007617DE"/>
    <w:rsid w:val="0076312A"/>
    <w:rsid w:val="00785E66"/>
    <w:rsid w:val="007A1DBB"/>
    <w:rsid w:val="007C7A0C"/>
    <w:rsid w:val="00811B0B"/>
    <w:rsid w:val="00823404"/>
    <w:rsid w:val="0084457B"/>
    <w:rsid w:val="00846499"/>
    <w:rsid w:val="00852E5B"/>
    <w:rsid w:val="00862F43"/>
    <w:rsid w:val="00864D3F"/>
    <w:rsid w:val="008A35FA"/>
    <w:rsid w:val="008B0732"/>
    <w:rsid w:val="008B738A"/>
    <w:rsid w:val="008D53CF"/>
    <w:rsid w:val="00913E69"/>
    <w:rsid w:val="00925B88"/>
    <w:rsid w:val="00940BFE"/>
    <w:rsid w:val="00990B93"/>
    <w:rsid w:val="009B582A"/>
    <w:rsid w:val="009C290A"/>
    <w:rsid w:val="009E0C3D"/>
    <w:rsid w:val="009F0C59"/>
    <w:rsid w:val="00A12991"/>
    <w:rsid w:val="00A15DD9"/>
    <w:rsid w:val="00A2795F"/>
    <w:rsid w:val="00A30614"/>
    <w:rsid w:val="00A517EA"/>
    <w:rsid w:val="00A71FD8"/>
    <w:rsid w:val="00A72EE1"/>
    <w:rsid w:val="00A96975"/>
    <w:rsid w:val="00AE03F1"/>
    <w:rsid w:val="00AF73F1"/>
    <w:rsid w:val="00B0741D"/>
    <w:rsid w:val="00B30650"/>
    <w:rsid w:val="00B543F3"/>
    <w:rsid w:val="00B756DB"/>
    <w:rsid w:val="00B77DE5"/>
    <w:rsid w:val="00B860BF"/>
    <w:rsid w:val="00B95DD2"/>
    <w:rsid w:val="00BA11D3"/>
    <w:rsid w:val="00BE3972"/>
    <w:rsid w:val="00BF317A"/>
    <w:rsid w:val="00C37CCA"/>
    <w:rsid w:val="00C6574B"/>
    <w:rsid w:val="00CE0603"/>
    <w:rsid w:val="00CE0CD5"/>
    <w:rsid w:val="00CE0D21"/>
    <w:rsid w:val="00CE620F"/>
    <w:rsid w:val="00CF70C6"/>
    <w:rsid w:val="00D00F1A"/>
    <w:rsid w:val="00D05D82"/>
    <w:rsid w:val="00D064C2"/>
    <w:rsid w:val="00D45A7D"/>
    <w:rsid w:val="00D5572E"/>
    <w:rsid w:val="00D55E6A"/>
    <w:rsid w:val="00D724F4"/>
    <w:rsid w:val="00D75277"/>
    <w:rsid w:val="00D872C4"/>
    <w:rsid w:val="00DB36F6"/>
    <w:rsid w:val="00DB3A83"/>
    <w:rsid w:val="00DD5275"/>
    <w:rsid w:val="00DE5F8D"/>
    <w:rsid w:val="00E27678"/>
    <w:rsid w:val="00E46292"/>
    <w:rsid w:val="00E8735B"/>
    <w:rsid w:val="00EA0E3A"/>
    <w:rsid w:val="00F054F8"/>
    <w:rsid w:val="00F05923"/>
    <w:rsid w:val="00F10238"/>
    <w:rsid w:val="00F44407"/>
    <w:rsid w:val="00F52359"/>
    <w:rsid w:val="00F579EE"/>
    <w:rsid w:val="00F64CC1"/>
    <w:rsid w:val="00F91A7F"/>
    <w:rsid w:val="00FA0BF5"/>
    <w:rsid w:val="00FA5F51"/>
    <w:rsid w:val="00FC0B6D"/>
    <w:rsid w:val="00FD5809"/>
    <w:rsid w:val="00FE35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FC0B6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617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74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05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1147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8</cp:revision>
  <cp:lastPrinted>2018-12-03T19:55:00Z</cp:lastPrinted>
  <dcterms:created xsi:type="dcterms:W3CDTF">2018-11-30T20:38:00Z</dcterms:created>
  <dcterms:modified xsi:type="dcterms:W3CDTF">2019-01-11T02:16:00Z</dcterms:modified>
</cp:coreProperties>
</file>